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99" w:rsidRDefault="00F122B3">
      <w:pPr>
        <w:sectPr w:rsidR="00A66099" w:rsidSect="00B565CC">
          <w:headerReference w:type="default" r:id="rId9"/>
          <w:footerReference w:type="default" r:id="rId10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A24642">
        <w:tc>
          <w:tcPr>
            <w:tcW w:w="8978" w:type="dxa"/>
          </w:tcPr>
          <w:p w:rsidR="00D35AD6" w:rsidRPr="009E00C1" w:rsidRDefault="00F122B3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F122B3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8024E5" w:rsidRPr="00AC1F33" w:rsidRDefault="00F122B3" w:rsidP="00DB5614">
      <w:pPr>
        <w:tabs>
          <w:tab w:val="left" w:pos="-720"/>
          <w:tab w:val="left" w:pos="0"/>
        </w:tabs>
        <w:suppressAutoHyphens/>
        <w:jc w:val="both"/>
        <w:rPr>
          <w:sz w:val="22"/>
        </w:rPr>
      </w:pPr>
    </w:p>
    <w:p w:rsidR="005C03C2" w:rsidRPr="00AC1F33" w:rsidRDefault="00F122B3" w:rsidP="00DB5614">
      <w:pPr>
        <w:tabs>
          <w:tab w:val="left" w:pos="-720"/>
          <w:tab w:val="left" w:pos="0"/>
        </w:tabs>
        <w:suppressAutoHyphens/>
        <w:jc w:val="both"/>
        <w:rPr>
          <w:sz w:val="22"/>
        </w:rPr>
      </w:pPr>
    </w:p>
    <w:p w:rsidR="00AC1F33" w:rsidRPr="00AC1F33" w:rsidRDefault="00F122B3" w:rsidP="00AC1F33">
      <w:pPr>
        <w:suppressAutoHyphens/>
        <w:jc w:val="both"/>
        <w:rPr>
          <w:rFonts w:cs="Arial"/>
          <w:b/>
          <w:color w:val="000000"/>
          <w:sz w:val="22"/>
          <w:szCs w:val="24"/>
        </w:rPr>
      </w:pPr>
      <w:r w:rsidRPr="00AC1F33">
        <w:rPr>
          <w:rFonts w:cs="Arial"/>
          <w:b/>
          <w:color w:val="000000"/>
          <w:sz w:val="22"/>
          <w:szCs w:val="24"/>
        </w:rPr>
        <w:t>PARA:</w:t>
      </w:r>
      <w:r w:rsidRPr="00AC1F33">
        <w:rPr>
          <w:rFonts w:cs="Arial"/>
          <w:color w:val="000000"/>
          <w:sz w:val="22"/>
          <w:szCs w:val="24"/>
        </w:rPr>
        <w:tab/>
      </w:r>
      <w:r w:rsidRPr="00AC1F33">
        <w:rPr>
          <w:rFonts w:cs="Arial"/>
          <w:color w:val="000000"/>
          <w:sz w:val="22"/>
          <w:szCs w:val="24"/>
        </w:rPr>
        <w:tab/>
      </w:r>
      <w:r>
        <w:rPr>
          <w:rFonts w:cs="Arial"/>
          <w:color w:val="000000"/>
          <w:sz w:val="22"/>
          <w:szCs w:val="24"/>
        </w:rPr>
        <w:tab/>
      </w:r>
      <w:r w:rsidRPr="00AC1F33">
        <w:rPr>
          <w:rFonts w:cs="Arial"/>
          <w:b/>
          <w:color w:val="000000"/>
          <w:sz w:val="22"/>
          <w:szCs w:val="24"/>
        </w:rPr>
        <w:t>Dra</w:t>
      </w:r>
      <w:r w:rsidRPr="00AC1F33">
        <w:rPr>
          <w:rFonts w:cs="Arial"/>
          <w:color w:val="000000"/>
          <w:sz w:val="22"/>
          <w:szCs w:val="24"/>
        </w:rPr>
        <w:t xml:space="preserve">. </w:t>
      </w:r>
      <w:r w:rsidRPr="00AC1F33">
        <w:rPr>
          <w:rFonts w:cs="Arial"/>
          <w:b/>
          <w:color w:val="000000"/>
          <w:sz w:val="22"/>
          <w:szCs w:val="24"/>
        </w:rPr>
        <w:t xml:space="preserve">MÓNICA MARCELA QUINTERO GIRALDO </w:t>
      </w:r>
    </w:p>
    <w:p w:rsidR="00AC1F33" w:rsidRPr="00AC1F33" w:rsidRDefault="00F122B3" w:rsidP="00AC1F33">
      <w:pPr>
        <w:ind w:left="2115"/>
        <w:rPr>
          <w:rFonts w:cs="Arial"/>
          <w:color w:val="000000"/>
          <w:sz w:val="22"/>
          <w:szCs w:val="24"/>
        </w:rPr>
      </w:pPr>
      <w:r w:rsidRPr="00AC1F33">
        <w:rPr>
          <w:rFonts w:cs="Arial"/>
          <w:color w:val="000000"/>
          <w:sz w:val="22"/>
          <w:szCs w:val="24"/>
        </w:rPr>
        <w:t>Responsable del Proceso de Comunicación Estratégica</w:t>
      </w:r>
    </w:p>
    <w:p w:rsidR="00AC1F33" w:rsidRPr="00AC1F33" w:rsidRDefault="00F122B3" w:rsidP="00AC1F33">
      <w:pPr>
        <w:rPr>
          <w:rFonts w:cs="Arial"/>
          <w:color w:val="000000"/>
          <w:sz w:val="22"/>
          <w:szCs w:val="24"/>
        </w:rPr>
      </w:pPr>
    </w:p>
    <w:p w:rsidR="00AC1F33" w:rsidRPr="00AC1F33" w:rsidRDefault="00F122B3" w:rsidP="00AC1F33">
      <w:pPr>
        <w:rPr>
          <w:rFonts w:cs="Arial"/>
          <w:color w:val="000000"/>
          <w:sz w:val="22"/>
          <w:szCs w:val="24"/>
        </w:rPr>
      </w:pPr>
    </w:p>
    <w:p w:rsidR="00AC1F33" w:rsidRPr="00AC1F33" w:rsidRDefault="00F122B3" w:rsidP="00AC1F33">
      <w:pPr>
        <w:jc w:val="both"/>
        <w:outlineLvl w:val="0"/>
        <w:rPr>
          <w:rFonts w:cs="Arial"/>
          <w:b/>
          <w:color w:val="000000"/>
          <w:sz w:val="22"/>
          <w:szCs w:val="24"/>
        </w:rPr>
      </w:pPr>
      <w:r w:rsidRPr="00AC1F33">
        <w:rPr>
          <w:rFonts w:cs="Arial"/>
          <w:b/>
          <w:color w:val="000000"/>
          <w:sz w:val="22"/>
          <w:szCs w:val="24"/>
        </w:rPr>
        <w:t>DE:</w:t>
      </w:r>
      <w:r w:rsidRPr="00AC1F33">
        <w:rPr>
          <w:rFonts w:cs="Arial"/>
          <w:color w:val="000000"/>
          <w:sz w:val="22"/>
          <w:szCs w:val="24"/>
        </w:rPr>
        <w:tab/>
      </w:r>
      <w:r w:rsidRPr="00AC1F33">
        <w:rPr>
          <w:rFonts w:cs="Arial"/>
          <w:color w:val="000000"/>
          <w:sz w:val="22"/>
          <w:szCs w:val="24"/>
        </w:rPr>
        <w:tab/>
      </w:r>
      <w:r w:rsidRPr="00AC1F33">
        <w:rPr>
          <w:rFonts w:cs="Arial"/>
          <w:color w:val="000000"/>
          <w:sz w:val="22"/>
          <w:szCs w:val="24"/>
        </w:rPr>
        <w:tab/>
      </w:r>
      <w:r w:rsidRPr="00AC1F33">
        <w:rPr>
          <w:rFonts w:cs="Arial"/>
          <w:b/>
          <w:color w:val="000000"/>
          <w:sz w:val="22"/>
          <w:szCs w:val="24"/>
        </w:rPr>
        <w:t>JEFE OFICINA DE CONTROL INTERNO</w:t>
      </w:r>
    </w:p>
    <w:p w:rsidR="00AC1F33" w:rsidRPr="00AC1F33" w:rsidRDefault="00F122B3" w:rsidP="00AC1F33">
      <w:pPr>
        <w:ind w:left="2124" w:hanging="2124"/>
        <w:rPr>
          <w:rFonts w:cs="Arial"/>
          <w:b/>
          <w:color w:val="000000"/>
          <w:sz w:val="22"/>
          <w:szCs w:val="24"/>
        </w:rPr>
      </w:pPr>
    </w:p>
    <w:p w:rsidR="00AC1F33" w:rsidRPr="00AC1F33" w:rsidRDefault="00F122B3" w:rsidP="00AC1F33">
      <w:pPr>
        <w:ind w:left="2124" w:hanging="2124"/>
        <w:jc w:val="both"/>
        <w:rPr>
          <w:rFonts w:cs="Arial"/>
          <w:sz w:val="22"/>
          <w:szCs w:val="24"/>
        </w:rPr>
      </w:pPr>
      <w:r w:rsidRPr="00AC1F33">
        <w:rPr>
          <w:rFonts w:cs="Arial"/>
          <w:b/>
          <w:color w:val="000000"/>
          <w:sz w:val="22"/>
          <w:szCs w:val="24"/>
        </w:rPr>
        <w:t>ASUNTO:</w:t>
      </w:r>
      <w:r w:rsidRPr="00AC1F33">
        <w:rPr>
          <w:rFonts w:cs="Arial"/>
          <w:color w:val="000000"/>
          <w:sz w:val="22"/>
          <w:szCs w:val="24"/>
        </w:rPr>
        <w:tab/>
      </w:r>
      <w:r w:rsidRPr="00AC1F33">
        <w:rPr>
          <w:rFonts w:cs="Arial"/>
          <w:sz w:val="22"/>
          <w:szCs w:val="24"/>
        </w:rPr>
        <w:t xml:space="preserve">Verificación Planes  de  Mejoramiento  y de </w:t>
      </w:r>
    </w:p>
    <w:p w:rsidR="00AC1F33" w:rsidRPr="00AC1F33" w:rsidRDefault="00F122B3" w:rsidP="00AC1F33">
      <w:pPr>
        <w:ind w:left="2124"/>
        <w:jc w:val="both"/>
        <w:rPr>
          <w:rFonts w:cs="Arial"/>
          <w:sz w:val="22"/>
          <w:szCs w:val="24"/>
        </w:rPr>
      </w:pPr>
      <w:r w:rsidRPr="00AC1F33">
        <w:rPr>
          <w:rFonts w:cs="Arial"/>
          <w:color w:val="000000"/>
          <w:sz w:val="22"/>
          <w:szCs w:val="24"/>
        </w:rPr>
        <w:t>E</w:t>
      </w:r>
      <w:r w:rsidRPr="00AC1F33">
        <w:rPr>
          <w:rFonts w:cs="Arial"/>
          <w:sz w:val="22"/>
          <w:szCs w:val="24"/>
        </w:rPr>
        <w:t>valuación y Seguimiento de los Riesgos.</w:t>
      </w:r>
    </w:p>
    <w:p w:rsidR="00AC1F33" w:rsidRPr="00AC1F33" w:rsidRDefault="00F122B3" w:rsidP="00AC1F33">
      <w:pPr>
        <w:ind w:left="2124"/>
        <w:jc w:val="both"/>
        <w:rPr>
          <w:rFonts w:cs="Arial"/>
          <w:sz w:val="22"/>
          <w:szCs w:val="24"/>
        </w:rPr>
      </w:pPr>
      <w:r w:rsidRPr="00AC1F33">
        <w:rPr>
          <w:rFonts w:cs="Arial"/>
          <w:color w:val="000000"/>
          <w:sz w:val="22"/>
          <w:szCs w:val="24"/>
        </w:rPr>
        <w:t>Corte diciembre de 2015.</w:t>
      </w:r>
    </w:p>
    <w:p w:rsidR="00AC1F33" w:rsidRPr="00AC1F33" w:rsidRDefault="00F122B3" w:rsidP="00AC1F33">
      <w:pPr>
        <w:ind w:left="2127" w:hanging="2127"/>
        <w:jc w:val="both"/>
        <w:rPr>
          <w:rFonts w:cs="Arial"/>
          <w:color w:val="FF0000"/>
          <w:szCs w:val="24"/>
        </w:rPr>
      </w:pPr>
    </w:p>
    <w:p w:rsidR="00AC1F33" w:rsidRPr="00AC1F33" w:rsidRDefault="00F122B3" w:rsidP="00AC1F33">
      <w:pPr>
        <w:ind w:left="2127" w:hanging="2127"/>
        <w:jc w:val="both"/>
        <w:rPr>
          <w:rFonts w:cs="Arial"/>
          <w:color w:val="0D0D0D"/>
          <w:sz w:val="22"/>
          <w:szCs w:val="24"/>
        </w:rPr>
      </w:pPr>
      <w:r w:rsidRPr="00AC1F33">
        <w:rPr>
          <w:rFonts w:cs="Arial"/>
          <w:color w:val="0D0D0D"/>
          <w:sz w:val="22"/>
          <w:szCs w:val="24"/>
        </w:rPr>
        <w:t>Respetada doctora Mónica, atento saludo:</w:t>
      </w:r>
    </w:p>
    <w:p w:rsidR="00AC1F33" w:rsidRPr="00AC1F33" w:rsidRDefault="00F122B3" w:rsidP="00AC1F33">
      <w:pPr>
        <w:ind w:left="2127" w:hanging="2127"/>
        <w:jc w:val="both"/>
        <w:rPr>
          <w:rFonts w:cs="Arial"/>
          <w:color w:val="FF0000"/>
          <w:sz w:val="22"/>
          <w:szCs w:val="24"/>
        </w:rPr>
      </w:pPr>
    </w:p>
    <w:p w:rsidR="00AC1F33" w:rsidRPr="00AC1F33" w:rsidRDefault="00F122B3" w:rsidP="00AC1F3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4"/>
        </w:rPr>
      </w:pPr>
      <w:r w:rsidRPr="00AC1F33">
        <w:rPr>
          <w:rFonts w:cs="Arial"/>
          <w:sz w:val="22"/>
          <w:szCs w:val="24"/>
        </w:rPr>
        <w:t>De conformidad con el Programa Anual de Evaluaciones Independientes PAEI</w:t>
      </w:r>
      <w:r w:rsidRPr="00AC1F33">
        <w:rPr>
          <w:rFonts w:cs="Arial"/>
          <w:sz w:val="22"/>
          <w:szCs w:val="24"/>
        </w:rPr>
        <w:t xml:space="preserve"> -  Vigencia 2015  y de acuerdo con lo establecido mediante la Resolución Reglamentaria No. 021 de 2015, de manera atenta me permito remitir el informe sobre la verificación efectuada a los planes mencionados en el asunto, así:</w:t>
      </w:r>
    </w:p>
    <w:p w:rsidR="00AC1F33" w:rsidRPr="00AC1F33" w:rsidRDefault="00F122B3" w:rsidP="00AC1F33">
      <w:pPr>
        <w:keepNext/>
        <w:numPr>
          <w:ilvl w:val="0"/>
          <w:numId w:val="3"/>
        </w:numPr>
        <w:spacing w:before="240" w:after="60"/>
        <w:ind w:left="426"/>
        <w:jc w:val="both"/>
        <w:outlineLvl w:val="0"/>
        <w:rPr>
          <w:rFonts w:cs="Arial"/>
          <w:b/>
          <w:bCs/>
          <w:kern w:val="32"/>
          <w:sz w:val="22"/>
          <w:szCs w:val="24"/>
        </w:rPr>
      </w:pPr>
      <w:r w:rsidRPr="00AC1F33">
        <w:rPr>
          <w:rFonts w:cs="Arial"/>
          <w:b/>
          <w:bCs/>
          <w:kern w:val="32"/>
          <w:sz w:val="22"/>
          <w:szCs w:val="24"/>
        </w:rPr>
        <w:t xml:space="preserve">PLAN DE MEJORAMIENTO – </w:t>
      </w:r>
      <w:r w:rsidRPr="00AC1F33">
        <w:rPr>
          <w:rFonts w:cs="Arial"/>
          <w:b/>
          <w:bCs/>
          <w:kern w:val="32"/>
          <w:sz w:val="22"/>
          <w:szCs w:val="24"/>
        </w:rPr>
        <w:t>ACCIONES CORRECTIVAS Y DE MEJORA</w:t>
      </w:r>
    </w:p>
    <w:p w:rsidR="00AC1F33" w:rsidRPr="00AC1F33" w:rsidRDefault="00F122B3" w:rsidP="00AC1F33">
      <w:pPr>
        <w:jc w:val="both"/>
        <w:rPr>
          <w:rFonts w:cs="Arial"/>
          <w:color w:val="FF0000"/>
          <w:sz w:val="22"/>
          <w:szCs w:val="24"/>
        </w:rPr>
      </w:pPr>
    </w:p>
    <w:p w:rsidR="00AC1F33" w:rsidRPr="00AC1F33" w:rsidRDefault="00F122B3" w:rsidP="00AC1F3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2"/>
        </w:rPr>
      </w:pPr>
      <w:r w:rsidRPr="00AC1F33">
        <w:rPr>
          <w:rFonts w:cs="Arial"/>
          <w:sz w:val="22"/>
          <w:szCs w:val="24"/>
        </w:rPr>
        <w:t xml:space="preserve">Realizada la verificación a la acción contenida en el Plan de Mejoramiento, se determinó el cierre de la misma, tal como se muestra a continuación: </w:t>
      </w:r>
    </w:p>
    <w:p w:rsidR="00AC1F33" w:rsidRPr="00AC1F33" w:rsidRDefault="00F122B3" w:rsidP="00AC1F33">
      <w:pPr>
        <w:jc w:val="both"/>
        <w:rPr>
          <w:rFonts w:cs="Arial"/>
          <w:sz w:val="22"/>
          <w:szCs w:val="22"/>
        </w:rPr>
      </w:pPr>
    </w:p>
    <w:p w:rsidR="00AC1F33" w:rsidRDefault="00F122B3" w:rsidP="00AC1F33">
      <w:pPr>
        <w:ind w:left="1418" w:hanging="1560"/>
        <w:jc w:val="center"/>
        <w:rPr>
          <w:rFonts w:cs="Arial"/>
          <w:b/>
          <w:sz w:val="22"/>
          <w:szCs w:val="22"/>
        </w:rPr>
      </w:pPr>
      <w:r w:rsidRPr="00AC1F33">
        <w:rPr>
          <w:rFonts w:cs="Arial"/>
          <w:b/>
          <w:sz w:val="22"/>
          <w:szCs w:val="22"/>
        </w:rPr>
        <w:t>Tabla 1</w:t>
      </w:r>
      <w:r>
        <w:rPr>
          <w:rFonts w:cs="Arial"/>
          <w:b/>
          <w:sz w:val="22"/>
          <w:szCs w:val="22"/>
        </w:rPr>
        <w:t xml:space="preserve"> -</w:t>
      </w:r>
      <w:r w:rsidRPr="00AC1F33">
        <w:rPr>
          <w:rFonts w:cs="Arial"/>
          <w:b/>
          <w:sz w:val="22"/>
          <w:szCs w:val="22"/>
        </w:rPr>
        <w:t>Verificación Plan de Mejoramiento - Acciones Correctivas y de M</w:t>
      </w:r>
      <w:r w:rsidRPr="00AC1F33">
        <w:rPr>
          <w:rFonts w:cs="Arial"/>
          <w:b/>
          <w:sz w:val="22"/>
          <w:szCs w:val="22"/>
        </w:rPr>
        <w:t>ejora</w:t>
      </w:r>
    </w:p>
    <w:p w:rsidR="00AC1F33" w:rsidRPr="00AC1F33" w:rsidRDefault="00F122B3" w:rsidP="00AC1F33">
      <w:pPr>
        <w:ind w:left="1418" w:hanging="1560"/>
        <w:jc w:val="center"/>
        <w:rPr>
          <w:rFonts w:cs="Arial"/>
          <w:b/>
          <w:szCs w:val="24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278"/>
        <w:gridCol w:w="1849"/>
        <w:gridCol w:w="142"/>
        <w:gridCol w:w="992"/>
        <w:gridCol w:w="1134"/>
        <w:gridCol w:w="439"/>
        <w:gridCol w:w="1403"/>
        <w:gridCol w:w="284"/>
        <w:gridCol w:w="843"/>
      </w:tblGrid>
      <w:tr w:rsidR="00A24642" w:rsidTr="00AC1F33">
        <w:trPr>
          <w:trHeight w:val="554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  <w:t>ORIGEN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  <w:t>TIPO DE ACCIÓN (Correctiva o de mejora)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  <w:t xml:space="preserve">ABIERTOS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  <w:t xml:space="preserve">CERRADOS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SUGERENCIA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Pr="00AC1F3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Y/O REITERACIÓN DE  CIERRE  (A*)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A24642" w:rsidTr="00C17AC2">
        <w:trPr>
          <w:trHeight w:val="207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4642" w:rsidTr="00AC1F33">
        <w:trPr>
          <w:trHeight w:val="341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1. Autoevaluación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Mejora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24642" w:rsidTr="00AC1F33">
        <w:trPr>
          <w:trHeight w:val="410"/>
        </w:trPr>
        <w:tc>
          <w:tcPr>
            <w:tcW w:w="383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TOTAL HALLAZGOS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24642" w:rsidTr="00AC1F33">
        <w:trPr>
          <w:trHeight w:val="188"/>
        </w:trPr>
        <w:tc>
          <w:tcPr>
            <w:tcW w:w="9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  <w:t>HALLAZGOS INGRESADOS EN EL CUARTO TRIMESTRE DE 2015</w:t>
            </w:r>
          </w:p>
        </w:tc>
      </w:tr>
      <w:tr w:rsidR="00A24642" w:rsidTr="00AC1F33">
        <w:trPr>
          <w:trHeight w:val="33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0</w:t>
            </w:r>
          </w:p>
        </w:tc>
      </w:tr>
      <w:tr w:rsidR="00A24642" w:rsidTr="00AC1F33">
        <w:trPr>
          <w:trHeight w:val="33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  <w:t>TOTAL GENERAL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AC1F33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1</w:t>
            </w:r>
          </w:p>
        </w:tc>
      </w:tr>
    </w:tbl>
    <w:p w:rsidR="00C17AC2" w:rsidRPr="00AC1F33" w:rsidRDefault="00F122B3" w:rsidP="00C17AC2">
      <w:pPr>
        <w:jc w:val="both"/>
        <w:rPr>
          <w:rFonts w:cs="Arial"/>
          <w:sz w:val="16"/>
          <w:szCs w:val="16"/>
        </w:rPr>
      </w:pPr>
      <w:r w:rsidRPr="00AC1F33">
        <w:rPr>
          <w:rFonts w:cs="Arial"/>
          <w:sz w:val="16"/>
          <w:szCs w:val="16"/>
        </w:rPr>
        <w:t xml:space="preserve">          Fuente: </w:t>
      </w:r>
      <w:r>
        <w:rPr>
          <w:rFonts w:cs="Arial"/>
          <w:sz w:val="16"/>
          <w:szCs w:val="16"/>
        </w:rPr>
        <w:t>Verificación Oficina de Control Interno – Diciembre de 2015.</w:t>
      </w:r>
    </w:p>
    <w:p w:rsidR="00AC1F33" w:rsidRPr="00AC1F33" w:rsidRDefault="00F122B3" w:rsidP="00AC1F33">
      <w:pPr>
        <w:jc w:val="both"/>
        <w:rPr>
          <w:rFonts w:cs="Arial"/>
          <w:i/>
          <w:sz w:val="22"/>
          <w:szCs w:val="22"/>
        </w:rPr>
      </w:pPr>
    </w:p>
    <w:p w:rsidR="00AC1F33" w:rsidRPr="00AC1F33" w:rsidRDefault="00F122B3" w:rsidP="00AC1F33">
      <w:pPr>
        <w:numPr>
          <w:ilvl w:val="1"/>
          <w:numId w:val="3"/>
        </w:numPr>
        <w:ind w:left="284" w:hanging="284"/>
        <w:rPr>
          <w:rFonts w:cs="Arial"/>
          <w:b/>
          <w:sz w:val="22"/>
          <w:szCs w:val="24"/>
        </w:rPr>
      </w:pPr>
      <w:r w:rsidRPr="00AC1F33">
        <w:rPr>
          <w:rFonts w:cs="Arial"/>
          <w:b/>
          <w:sz w:val="22"/>
          <w:szCs w:val="24"/>
        </w:rPr>
        <w:t>ACCIONES DE MEJORA</w:t>
      </w:r>
    </w:p>
    <w:p w:rsidR="00AC1F33" w:rsidRPr="00AC1F33" w:rsidRDefault="00F122B3" w:rsidP="00AC1F33">
      <w:pPr>
        <w:rPr>
          <w:rFonts w:cs="Arial"/>
          <w:b/>
          <w:sz w:val="22"/>
          <w:szCs w:val="24"/>
        </w:rPr>
      </w:pPr>
    </w:p>
    <w:p w:rsidR="00AC1F33" w:rsidRPr="00AC1F33" w:rsidRDefault="00F122B3" w:rsidP="00C17AC2">
      <w:pPr>
        <w:rPr>
          <w:rFonts w:cs="Arial"/>
          <w:b/>
          <w:sz w:val="22"/>
          <w:szCs w:val="24"/>
        </w:rPr>
      </w:pPr>
      <w:r w:rsidRPr="00AC1F33">
        <w:rPr>
          <w:rFonts w:cs="Arial"/>
          <w:b/>
          <w:sz w:val="22"/>
          <w:szCs w:val="24"/>
        </w:rPr>
        <w:t>Autoevaluación</w:t>
      </w:r>
    </w:p>
    <w:p w:rsidR="00AC1F33" w:rsidRPr="00AC1F33" w:rsidRDefault="00F122B3" w:rsidP="00C17AC2">
      <w:pPr>
        <w:rPr>
          <w:rFonts w:cs="Arial"/>
          <w:b/>
          <w:sz w:val="22"/>
          <w:szCs w:val="24"/>
        </w:rPr>
      </w:pPr>
    </w:p>
    <w:p w:rsidR="00AC1F33" w:rsidRPr="00AC1F33" w:rsidRDefault="00F122B3" w:rsidP="00C17AC2">
      <w:pPr>
        <w:numPr>
          <w:ilvl w:val="0"/>
          <w:numId w:val="4"/>
        </w:numPr>
        <w:rPr>
          <w:rFonts w:cs="Arial"/>
          <w:i/>
          <w:sz w:val="22"/>
          <w:szCs w:val="24"/>
        </w:rPr>
      </w:pPr>
      <w:r w:rsidRPr="00AC1F33">
        <w:rPr>
          <w:rFonts w:cs="Arial"/>
          <w:i/>
          <w:sz w:val="22"/>
          <w:szCs w:val="24"/>
        </w:rPr>
        <w:t>Mantener actualizados los registros de apariciones en medios</w:t>
      </w:r>
    </w:p>
    <w:p w:rsidR="00AC1F33" w:rsidRPr="00C17AC2" w:rsidRDefault="00F122B3" w:rsidP="00C17AC2">
      <w:pPr>
        <w:rPr>
          <w:rFonts w:cs="Arial"/>
          <w:b/>
          <w:i/>
          <w:sz w:val="22"/>
          <w:szCs w:val="24"/>
          <w:lang w:val="es-ES_tradnl"/>
        </w:rPr>
      </w:pPr>
    </w:p>
    <w:p w:rsidR="00C17AC2" w:rsidRDefault="00F122B3" w:rsidP="00AC1F33">
      <w:pPr>
        <w:rPr>
          <w:rFonts w:cs="Arial"/>
          <w:b/>
          <w:szCs w:val="24"/>
          <w:lang w:val="es-ES_tradnl"/>
        </w:rPr>
      </w:pPr>
    </w:p>
    <w:p w:rsidR="00C17AC2" w:rsidRPr="00C17AC2" w:rsidRDefault="00F122B3" w:rsidP="00AC1F33">
      <w:pPr>
        <w:rPr>
          <w:rFonts w:cs="Arial"/>
          <w:b/>
          <w:sz w:val="22"/>
          <w:szCs w:val="24"/>
          <w:lang w:val="es-ES_tradnl"/>
        </w:rPr>
      </w:pPr>
    </w:p>
    <w:p w:rsidR="00AC1F33" w:rsidRPr="00AC1F33" w:rsidRDefault="00F122B3" w:rsidP="00C17AC2">
      <w:pPr>
        <w:rPr>
          <w:rFonts w:cs="Arial"/>
          <w:b/>
          <w:sz w:val="22"/>
          <w:szCs w:val="24"/>
          <w:u w:val="single"/>
          <w:lang w:val="es-ES_tradnl"/>
        </w:rPr>
      </w:pPr>
      <w:r w:rsidRPr="00AC1F33">
        <w:rPr>
          <w:rFonts w:cs="Arial"/>
          <w:b/>
          <w:sz w:val="22"/>
          <w:szCs w:val="24"/>
          <w:u w:val="single"/>
          <w:lang w:val="es-ES_tradnl"/>
        </w:rPr>
        <w:t>Acción implementada</w:t>
      </w:r>
    </w:p>
    <w:p w:rsidR="00AC1F33" w:rsidRPr="00AC1F33" w:rsidRDefault="00F122B3" w:rsidP="00AC1F33">
      <w:pPr>
        <w:rPr>
          <w:rFonts w:cs="Arial"/>
          <w:sz w:val="22"/>
          <w:szCs w:val="24"/>
        </w:rPr>
      </w:pPr>
      <w:r w:rsidRPr="00AC1F33">
        <w:rPr>
          <w:rFonts w:cs="Arial"/>
          <w:i/>
          <w:sz w:val="22"/>
          <w:szCs w:val="24"/>
        </w:rPr>
        <w:t xml:space="preserve">“Actualizar permanentemente los registros de apariciones de medios” </w:t>
      </w:r>
      <w:r w:rsidRPr="00AC1F33">
        <w:rPr>
          <w:rFonts w:cs="Arial"/>
          <w:sz w:val="22"/>
          <w:szCs w:val="24"/>
        </w:rPr>
        <w:t>esta acción se cierra teniendo en cuenta lo siguiente:</w:t>
      </w:r>
    </w:p>
    <w:p w:rsidR="00AC1F33" w:rsidRPr="00AC1F33" w:rsidRDefault="00F122B3" w:rsidP="00AC1F33">
      <w:pPr>
        <w:rPr>
          <w:rFonts w:cs="Arial"/>
          <w:sz w:val="22"/>
          <w:szCs w:val="24"/>
        </w:rPr>
      </w:pPr>
    </w:p>
    <w:p w:rsidR="00AC1F33" w:rsidRPr="00AC1F33" w:rsidRDefault="00F122B3" w:rsidP="00AC1F33">
      <w:pPr>
        <w:ind w:left="1418" w:hanging="1418"/>
        <w:rPr>
          <w:rFonts w:cs="Arial"/>
          <w:b/>
          <w:sz w:val="22"/>
          <w:szCs w:val="24"/>
          <w:lang w:val="es-ES_tradnl"/>
        </w:rPr>
      </w:pPr>
      <w:r w:rsidRPr="00AC1F33">
        <w:rPr>
          <w:rFonts w:cs="Arial"/>
          <w:b/>
          <w:sz w:val="22"/>
          <w:szCs w:val="24"/>
          <w:lang w:val="es-ES_tradnl"/>
        </w:rPr>
        <w:t>Verificación</w:t>
      </w:r>
      <w:r w:rsidRPr="00AC1F33">
        <w:rPr>
          <w:rFonts w:cs="Arial"/>
          <w:color w:val="000000"/>
          <w:sz w:val="22"/>
          <w:szCs w:val="24"/>
        </w:rPr>
        <w:t xml:space="preserve"> </w:t>
      </w:r>
      <w:r w:rsidRPr="00AC1F33">
        <w:rPr>
          <w:rFonts w:cs="Arial"/>
          <w:b/>
          <w:sz w:val="22"/>
          <w:szCs w:val="24"/>
          <w:lang w:val="es-ES_tradnl"/>
        </w:rPr>
        <w:t>Oficina de Control Interno:</w:t>
      </w:r>
      <w:r w:rsidRPr="00AC1F33">
        <w:rPr>
          <w:rFonts w:cs="Arial"/>
          <w:color w:val="000000"/>
          <w:sz w:val="22"/>
          <w:szCs w:val="24"/>
        </w:rPr>
        <w:t xml:space="preserve"> </w:t>
      </w:r>
    </w:p>
    <w:p w:rsidR="00AC1F33" w:rsidRPr="00AC1F33" w:rsidRDefault="00F122B3" w:rsidP="00AC1F33">
      <w:pPr>
        <w:ind w:left="1418" w:hanging="1418"/>
        <w:rPr>
          <w:rFonts w:cs="Arial"/>
          <w:b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  <w:r w:rsidRPr="00AC1F33">
        <w:rPr>
          <w:rFonts w:cs="Arial"/>
          <w:sz w:val="22"/>
          <w:szCs w:val="24"/>
        </w:rPr>
        <w:t xml:space="preserve">Se evidenció que el Proceso cuenta con una base de datos donde se registran las noticias </w:t>
      </w:r>
      <w:r w:rsidRPr="00AC1F33">
        <w:rPr>
          <w:rFonts w:cs="Arial"/>
          <w:sz w:val="22"/>
          <w:szCs w:val="24"/>
        </w:rPr>
        <w:t>positivas, negativas y neutras que sobre la Contraloría de Bogotá se emiten por los diferentes medios de comunicación. A diciembre 14 de 2015, se obtuvo un registro de 1358 apariciones en medios de comunicación de los cuales 418 corresponden a radio, 263 a</w:t>
      </w:r>
      <w:r w:rsidRPr="00AC1F33">
        <w:rPr>
          <w:rFonts w:cs="Arial"/>
          <w:sz w:val="22"/>
          <w:szCs w:val="24"/>
        </w:rPr>
        <w:t xml:space="preserve"> televisión, 246 de prensa y 431 digitales.</w:t>
      </w: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</w:p>
    <w:p w:rsidR="00AC1F33" w:rsidRPr="00AC1F33" w:rsidRDefault="00F122B3" w:rsidP="00C17AC2">
      <w:pPr>
        <w:keepNext/>
        <w:numPr>
          <w:ilvl w:val="0"/>
          <w:numId w:val="3"/>
        </w:numPr>
        <w:ind w:left="426"/>
        <w:jc w:val="both"/>
        <w:outlineLvl w:val="0"/>
        <w:rPr>
          <w:rFonts w:cs="Arial"/>
          <w:b/>
          <w:bCs/>
          <w:kern w:val="32"/>
          <w:sz w:val="22"/>
          <w:szCs w:val="24"/>
        </w:rPr>
      </w:pPr>
      <w:r w:rsidRPr="00AC1F33">
        <w:rPr>
          <w:rFonts w:cs="Arial"/>
          <w:b/>
          <w:bCs/>
          <w:kern w:val="32"/>
          <w:sz w:val="22"/>
          <w:szCs w:val="24"/>
        </w:rPr>
        <w:t>PLAN DE EVALUACIÓN Y SEGUIMIENTO DE LOS RIESGOS</w:t>
      </w:r>
    </w:p>
    <w:p w:rsidR="00AC1F33" w:rsidRPr="00AC1F33" w:rsidRDefault="00F122B3" w:rsidP="00AC1F33">
      <w:pPr>
        <w:ind w:left="390"/>
        <w:jc w:val="both"/>
        <w:rPr>
          <w:rFonts w:cs="Arial"/>
          <w:color w:val="FF0000"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color w:val="0D0D0D"/>
          <w:szCs w:val="24"/>
        </w:rPr>
      </w:pPr>
      <w:r w:rsidRPr="00AC1F33">
        <w:rPr>
          <w:rFonts w:cs="Arial"/>
          <w:color w:val="0D0D0D"/>
          <w:sz w:val="22"/>
          <w:szCs w:val="24"/>
        </w:rPr>
        <w:t xml:space="preserve">El plan de </w:t>
      </w:r>
      <w:r w:rsidRPr="00AC1F33">
        <w:rPr>
          <w:rFonts w:cs="Arial"/>
          <w:color w:val="0D0D0D"/>
          <w:sz w:val="22"/>
          <w:szCs w:val="22"/>
        </w:rPr>
        <w:t xml:space="preserve">Plan de Evaluación y Seguimiento de los Riesgos </w:t>
      </w:r>
      <w:r w:rsidRPr="00AC1F33">
        <w:rPr>
          <w:rFonts w:cs="Arial"/>
          <w:color w:val="0D0D0D"/>
          <w:sz w:val="22"/>
          <w:szCs w:val="24"/>
        </w:rPr>
        <w:t>del Proceso de Comunicación Estratégica está conformado por dos riesgos; uno corresponde a  Riesgos Ant</w:t>
      </w:r>
      <w:r w:rsidRPr="00AC1F33">
        <w:rPr>
          <w:rFonts w:cs="Arial"/>
          <w:color w:val="0D0D0D"/>
          <w:sz w:val="22"/>
          <w:szCs w:val="24"/>
        </w:rPr>
        <w:t>ijurídico  y el otro a Riesgo de Corrupción. Verificadas las acciones desarrolladas por el Proceso se determinó que las acciones implementadas lograron mitigarlos así</w:t>
      </w:r>
      <w:r w:rsidRPr="00AC1F33">
        <w:rPr>
          <w:rFonts w:cs="Arial"/>
          <w:color w:val="0D0D0D"/>
          <w:szCs w:val="24"/>
        </w:rPr>
        <w:t>:</w:t>
      </w:r>
    </w:p>
    <w:p w:rsidR="00AC1F33" w:rsidRPr="00AC1F33" w:rsidRDefault="00F122B3" w:rsidP="00AC1F33">
      <w:pPr>
        <w:jc w:val="center"/>
        <w:rPr>
          <w:rFonts w:cs="Arial"/>
          <w:b/>
          <w:sz w:val="20"/>
        </w:rPr>
      </w:pPr>
    </w:p>
    <w:p w:rsidR="00AC1F33" w:rsidRPr="00AC1F33" w:rsidRDefault="00F122B3" w:rsidP="00AC1F33">
      <w:pPr>
        <w:jc w:val="center"/>
        <w:rPr>
          <w:rFonts w:cs="Arial"/>
          <w:b/>
          <w:szCs w:val="22"/>
        </w:rPr>
      </w:pPr>
      <w:r w:rsidRPr="00AC1F33">
        <w:rPr>
          <w:rFonts w:cs="Arial"/>
          <w:b/>
          <w:sz w:val="22"/>
        </w:rPr>
        <w:t>Tabla 2.</w:t>
      </w:r>
    </w:p>
    <w:p w:rsidR="00AC1F33" w:rsidRPr="00AC1F33" w:rsidRDefault="00F122B3" w:rsidP="00AC1F33">
      <w:pPr>
        <w:jc w:val="center"/>
        <w:rPr>
          <w:rFonts w:cs="Arial"/>
          <w:b/>
          <w:sz w:val="22"/>
        </w:rPr>
      </w:pPr>
      <w:r w:rsidRPr="00AC1F33">
        <w:rPr>
          <w:rFonts w:cs="Arial"/>
          <w:b/>
          <w:sz w:val="22"/>
        </w:rPr>
        <w:t>Plan de Evaluación y Seguimiento de los Riesgos</w:t>
      </w:r>
    </w:p>
    <w:p w:rsidR="00AC1F33" w:rsidRPr="00AC1F33" w:rsidRDefault="00F122B3" w:rsidP="00AC1F33">
      <w:pPr>
        <w:ind w:left="390"/>
        <w:rPr>
          <w:rFonts w:cs="Arial"/>
          <w:b/>
          <w:sz w:val="8"/>
          <w:szCs w:val="8"/>
        </w:rPr>
      </w:pPr>
    </w:p>
    <w:tbl>
      <w:tblPr>
        <w:tblW w:w="7946" w:type="dxa"/>
        <w:jc w:val="center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1554"/>
        <w:gridCol w:w="1396"/>
        <w:gridCol w:w="1466"/>
      </w:tblGrid>
      <w:tr w:rsidR="00A24642" w:rsidTr="00102044">
        <w:trPr>
          <w:trHeight w:val="43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ORIGEN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ABIERTOS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MITIGADOS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TOTAL</w:t>
            </w:r>
          </w:p>
        </w:tc>
      </w:tr>
      <w:tr w:rsidR="00A24642" w:rsidTr="00C17AC2">
        <w:trPr>
          <w:trHeight w:val="70"/>
          <w:jc w:val="center"/>
        </w:trPr>
        <w:tc>
          <w:tcPr>
            <w:tcW w:w="3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 xml:space="preserve">1.1.  Antijurídico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>1</w:t>
            </w:r>
          </w:p>
        </w:tc>
      </w:tr>
      <w:tr w:rsidR="00A24642" w:rsidTr="00102044">
        <w:trPr>
          <w:trHeight w:val="329"/>
          <w:jc w:val="center"/>
        </w:trPr>
        <w:tc>
          <w:tcPr>
            <w:tcW w:w="3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 xml:space="preserve">1.2.  Corrupción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</w:rPr>
            </w:pPr>
            <w:r w:rsidRPr="00AC1F33">
              <w:rPr>
                <w:rFonts w:ascii="Arial Narrow" w:hAnsi="Arial Narrow" w:cs="Arial"/>
              </w:rPr>
              <w:t>1</w:t>
            </w:r>
          </w:p>
        </w:tc>
      </w:tr>
      <w:tr w:rsidR="00A24642" w:rsidTr="00C17AC2">
        <w:trPr>
          <w:trHeight w:val="312"/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rPr>
                <w:rFonts w:ascii="Arial Narrow" w:hAnsi="Arial Narrow" w:cs="Arial"/>
                <w:b/>
                <w:sz w:val="22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TOTAL ACCIONES PREVENTIVAS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CB9CA" w:themeFill="text2" w:themeFillTint="66"/>
            <w:vAlign w:val="center"/>
          </w:tcPr>
          <w:p w:rsidR="00AC1F33" w:rsidRPr="00AC1F33" w:rsidRDefault="00F122B3" w:rsidP="00AC1F3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AC1F33">
              <w:rPr>
                <w:rFonts w:ascii="Arial Narrow" w:hAnsi="Arial Narrow" w:cs="Arial"/>
                <w:b/>
                <w:sz w:val="22"/>
              </w:rPr>
              <w:t>2</w:t>
            </w:r>
          </w:p>
        </w:tc>
      </w:tr>
    </w:tbl>
    <w:p w:rsidR="00AC1F33" w:rsidRPr="00AC1F33" w:rsidRDefault="00F122B3" w:rsidP="00C17AC2">
      <w:pPr>
        <w:jc w:val="both"/>
        <w:rPr>
          <w:rFonts w:cs="Arial"/>
          <w:sz w:val="16"/>
          <w:szCs w:val="16"/>
        </w:rPr>
      </w:pPr>
      <w:r w:rsidRPr="00AC1F33">
        <w:rPr>
          <w:rFonts w:cs="Arial"/>
          <w:sz w:val="16"/>
          <w:szCs w:val="16"/>
        </w:rPr>
        <w:t xml:space="preserve">          Fuente: </w:t>
      </w:r>
      <w:r>
        <w:rPr>
          <w:rFonts w:cs="Arial"/>
          <w:sz w:val="16"/>
          <w:szCs w:val="16"/>
        </w:rPr>
        <w:t>Verificación Oficina de Control Interno – Diciembre de 2015.</w:t>
      </w:r>
    </w:p>
    <w:p w:rsidR="00AC1F33" w:rsidRDefault="00F122B3" w:rsidP="00AC1F33">
      <w:pPr>
        <w:rPr>
          <w:rFonts w:cs="Arial"/>
          <w:b/>
          <w:sz w:val="22"/>
          <w:szCs w:val="22"/>
        </w:rPr>
      </w:pPr>
    </w:p>
    <w:p w:rsidR="00AC1F33" w:rsidRPr="00AC1F33" w:rsidRDefault="00F122B3" w:rsidP="00AC1F33">
      <w:pPr>
        <w:jc w:val="both"/>
        <w:rPr>
          <w:rFonts w:cs="Arial"/>
          <w:color w:val="0D0D0D"/>
          <w:sz w:val="22"/>
          <w:szCs w:val="24"/>
        </w:rPr>
      </w:pPr>
      <w:r w:rsidRPr="00AC1F33">
        <w:rPr>
          <w:rFonts w:cs="Arial"/>
          <w:color w:val="0D0D0D"/>
          <w:sz w:val="22"/>
          <w:szCs w:val="24"/>
        </w:rPr>
        <w:t xml:space="preserve">La descripción de los riesgos y la verificación correspondiente es como se indica a continuación: </w:t>
      </w:r>
    </w:p>
    <w:p w:rsidR="00AC1F33" w:rsidRPr="00AC1F33" w:rsidRDefault="00F122B3" w:rsidP="00AC1F33">
      <w:pPr>
        <w:ind w:left="360"/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numPr>
          <w:ilvl w:val="0"/>
          <w:numId w:val="1"/>
        </w:numPr>
        <w:jc w:val="both"/>
        <w:rPr>
          <w:rFonts w:cs="Arial"/>
          <w:i/>
          <w:sz w:val="22"/>
          <w:szCs w:val="24"/>
        </w:rPr>
      </w:pPr>
      <w:r w:rsidRPr="00AC1F33">
        <w:rPr>
          <w:rFonts w:cs="Arial"/>
          <w:sz w:val="22"/>
          <w:szCs w:val="24"/>
        </w:rPr>
        <w:t xml:space="preserve">2.1. Riesgo Antijurídico </w:t>
      </w:r>
      <w:r w:rsidRPr="00AC1F33">
        <w:rPr>
          <w:rFonts w:cs="Arial"/>
          <w:i/>
          <w:sz w:val="22"/>
          <w:szCs w:val="24"/>
        </w:rPr>
        <w:t>- “Acciones en contra de la entidad por inexactitud información institucional divulgada a través de boletines de prensa”.</w:t>
      </w: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sz w:val="22"/>
          <w:szCs w:val="24"/>
          <w:u w:val="single"/>
        </w:rPr>
      </w:pPr>
      <w:r w:rsidRPr="00AC1F33">
        <w:rPr>
          <w:rFonts w:cs="Arial"/>
          <w:b/>
          <w:sz w:val="22"/>
          <w:szCs w:val="24"/>
          <w:u w:val="single"/>
        </w:rPr>
        <w:t>Acción i</w:t>
      </w:r>
      <w:r w:rsidRPr="00AC1F33">
        <w:rPr>
          <w:rFonts w:cs="Arial"/>
          <w:b/>
          <w:sz w:val="22"/>
          <w:szCs w:val="24"/>
          <w:u w:val="single"/>
        </w:rPr>
        <w:t>mplementada:</w:t>
      </w:r>
      <w:r w:rsidRPr="00AC1F33">
        <w:rPr>
          <w:rFonts w:cs="Arial"/>
          <w:sz w:val="22"/>
          <w:szCs w:val="24"/>
          <w:u w:val="single"/>
        </w:rPr>
        <w:t xml:space="preserve"> </w:t>
      </w:r>
    </w:p>
    <w:p w:rsidR="00AC1F33" w:rsidRPr="00AC1F33" w:rsidRDefault="00F122B3" w:rsidP="00AC1F33">
      <w:pPr>
        <w:jc w:val="both"/>
        <w:rPr>
          <w:rFonts w:cs="Arial"/>
          <w:i/>
          <w:sz w:val="22"/>
          <w:szCs w:val="24"/>
        </w:rPr>
      </w:pPr>
      <w:r w:rsidRPr="00AC1F33">
        <w:rPr>
          <w:rFonts w:cs="Arial"/>
          <w:i/>
          <w:sz w:val="22"/>
          <w:szCs w:val="24"/>
        </w:rPr>
        <w:t>“Solicitar el  visto bueno del Director Sectorial o del Contralor, antes de ser publicado el comunicado de prensa”.</w:t>
      </w:r>
    </w:p>
    <w:p w:rsidR="00AC1F33" w:rsidRPr="00AC1F33" w:rsidRDefault="00F122B3" w:rsidP="00AC1F33">
      <w:pPr>
        <w:jc w:val="both"/>
        <w:rPr>
          <w:rFonts w:cs="Arial"/>
          <w:i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  <w:r w:rsidRPr="00AC1F33">
        <w:rPr>
          <w:rFonts w:cs="Arial"/>
          <w:b/>
          <w:sz w:val="22"/>
          <w:szCs w:val="24"/>
          <w:lang w:val="es-ES_tradnl"/>
        </w:rPr>
        <w:t>Verificación</w:t>
      </w:r>
      <w:r w:rsidRPr="00AC1F33">
        <w:rPr>
          <w:rFonts w:cs="Arial"/>
          <w:color w:val="000000"/>
          <w:sz w:val="22"/>
          <w:szCs w:val="24"/>
        </w:rPr>
        <w:t xml:space="preserve"> </w:t>
      </w:r>
      <w:r w:rsidRPr="00AC1F33">
        <w:rPr>
          <w:rFonts w:cs="Arial"/>
          <w:b/>
          <w:sz w:val="22"/>
          <w:szCs w:val="24"/>
          <w:lang w:val="es-ES_tradnl"/>
        </w:rPr>
        <w:t>Oficina de Control Interno:</w:t>
      </w:r>
      <w:r w:rsidRPr="00AC1F33">
        <w:rPr>
          <w:rFonts w:cs="Arial"/>
          <w:sz w:val="22"/>
          <w:szCs w:val="24"/>
        </w:rPr>
        <w:t xml:space="preserve">   </w:t>
      </w: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color w:val="FF0000"/>
          <w:sz w:val="22"/>
          <w:szCs w:val="24"/>
        </w:rPr>
      </w:pPr>
      <w:r w:rsidRPr="00AC1F33">
        <w:rPr>
          <w:rFonts w:cs="Arial"/>
          <w:sz w:val="22"/>
          <w:szCs w:val="24"/>
        </w:rPr>
        <w:t xml:space="preserve">Verificada la carpeta que contiene los Boletines de prensa emitidos en el año </w:t>
      </w:r>
      <w:r w:rsidRPr="00AC1F33">
        <w:rPr>
          <w:rFonts w:cs="Arial"/>
          <w:sz w:val="22"/>
          <w:szCs w:val="24"/>
        </w:rPr>
        <w:t>por la Oficina de Comunicaciones, se constató que éstos cuentan con el visto bueno de la sectorial de donde se originó la información. Se observó a diciembre 14 de 2015, que se han enviado 25 boletines de prensa,  los cuales cuentan con el respectivo visto</w:t>
      </w:r>
      <w:r w:rsidRPr="00AC1F33">
        <w:rPr>
          <w:rFonts w:cs="Arial"/>
          <w:sz w:val="22"/>
          <w:szCs w:val="24"/>
        </w:rPr>
        <w:t>.</w:t>
      </w:r>
    </w:p>
    <w:p w:rsidR="00AC1F33" w:rsidRPr="00AC1F33" w:rsidRDefault="00F122B3" w:rsidP="00AC1F33">
      <w:pPr>
        <w:ind w:left="360"/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numPr>
          <w:ilvl w:val="0"/>
          <w:numId w:val="2"/>
        </w:numPr>
        <w:jc w:val="both"/>
        <w:rPr>
          <w:rFonts w:cs="Arial"/>
          <w:i/>
          <w:sz w:val="22"/>
          <w:szCs w:val="24"/>
        </w:rPr>
      </w:pPr>
      <w:r w:rsidRPr="00AC1F33">
        <w:rPr>
          <w:rFonts w:cs="Arial"/>
          <w:sz w:val="22"/>
          <w:szCs w:val="24"/>
        </w:rPr>
        <w:lastRenderedPageBreak/>
        <w:t>2.2. Corrupción- “</w:t>
      </w:r>
      <w:r w:rsidRPr="00AC1F33">
        <w:rPr>
          <w:rFonts w:cs="Arial"/>
          <w:i/>
          <w:sz w:val="22"/>
          <w:szCs w:val="24"/>
        </w:rPr>
        <w:t xml:space="preserve">Inadecuado manejo de la información relacionada con los resultados de la gestión institucional”. </w:t>
      </w:r>
    </w:p>
    <w:p w:rsidR="00AC1F33" w:rsidRPr="00AC1F33" w:rsidRDefault="00F122B3" w:rsidP="00AC1F33">
      <w:pPr>
        <w:rPr>
          <w:rFonts w:cs="Arial"/>
          <w:b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b/>
          <w:sz w:val="22"/>
          <w:szCs w:val="24"/>
          <w:u w:val="single"/>
        </w:rPr>
      </w:pPr>
      <w:r w:rsidRPr="00AC1F33">
        <w:rPr>
          <w:rFonts w:cs="Arial"/>
          <w:b/>
          <w:sz w:val="22"/>
          <w:szCs w:val="24"/>
          <w:u w:val="single"/>
        </w:rPr>
        <w:t>Acción Implementada</w:t>
      </w:r>
    </w:p>
    <w:p w:rsidR="00AC1F33" w:rsidRPr="00AC1F33" w:rsidRDefault="00F122B3" w:rsidP="00AC1F33">
      <w:pPr>
        <w:jc w:val="both"/>
        <w:rPr>
          <w:rFonts w:cs="Arial"/>
          <w:i/>
          <w:sz w:val="22"/>
          <w:szCs w:val="24"/>
        </w:rPr>
      </w:pPr>
      <w:r w:rsidRPr="00AC1F33">
        <w:rPr>
          <w:rFonts w:cs="Arial"/>
          <w:i/>
          <w:sz w:val="22"/>
          <w:szCs w:val="24"/>
        </w:rPr>
        <w:t xml:space="preserve">“Actualizar el formato de seguimiento y control con la información que será divulgada a los medios de comunicación </w:t>
      </w:r>
      <w:r w:rsidRPr="00AC1F33">
        <w:rPr>
          <w:rFonts w:cs="Arial"/>
          <w:i/>
          <w:sz w:val="22"/>
          <w:szCs w:val="24"/>
        </w:rPr>
        <w:t>durante la vigencia”</w:t>
      </w:r>
    </w:p>
    <w:p w:rsidR="00AC1F33" w:rsidRPr="00AC1F33" w:rsidRDefault="00F122B3" w:rsidP="00AC1F33">
      <w:pPr>
        <w:jc w:val="both"/>
        <w:rPr>
          <w:rFonts w:cs="Arial"/>
          <w:i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b/>
          <w:sz w:val="22"/>
          <w:szCs w:val="24"/>
        </w:rPr>
      </w:pPr>
      <w:r w:rsidRPr="00AC1F33">
        <w:rPr>
          <w:rFonts w:cs="Arial"/>
          <w:b/>
          <w:sz w:val="22"/>
          <w:szCs w:val="24"/>
          <w:lang w:val="es-ES_tradnl"/>
        </w:rPr>
        <w:t>Verificación</w:t>
      </w:r>
      <w:r w:rsidRPr="00AC1F33">
        <w:rPr>
          <w:rFonts w:cs="Arial"/>
          <w:color w:val="000000"/>
          <w:sz w:val="22"/>
          <w:szCs w:val="24"/>
        </w:rPr>
        <w:t xml:space="preserve"> </w:t>
      </w:r>
      <w:r w:rsidRPr="00AC1F33">
        <w:rPr>
          <w:rFonts w:cs="Arial"/>
          <w:b/>
          <w:sz w:val="22"/>
          <w:szCs w:val="24"/>
          <w:lang w:val="es-ES_tradnl"/>
        </w:rPr>
        <w:t>Oficina de Control Interno:</w:t>
      </w: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  <w:r w:rsidRPr="00AC1F33">
        <w:rPr>
          <w:rFonts w:cs="Arial"/>
          <w:sz w:val="22"/>
          <w:szCs w:val="24"/>
        </w:rPr>
        <w:t>Se constató que  la información correspondiente a los 25 boletines de prensa publicados a diciembre 14 de 2015, fue consignada en el  formato "Seguimiento y control de la información que llega</w:t>
      </w:r>
      <w:r w:rsidRPr="00AC1F33">
        <w:rPr>
          <w:rFonts w:cs="Arial"/>
          <w:sz w:val="22"/>
          <w:szCs w:val="24"/>
        </w:rPr>
        <w:t xml:space="preserve"> a la Oficina Asesora de Comunicaciones”.</w:t>
      </w: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  <w:r w:rsidRPr="00AC1F33">
        <w:rPr>
          <w:rFonts w:cs="Arial"/>
          <w:sz w:val="22"/>
          <w:szCs w:val="24"/>
        </w:rPr>
        <w:t>De acuerdo a lo descrito, se  observa que las acciones adelantadas por  el Proceso de Comunicación Estratégica contribuyeron a mitigar los riesgos identificados.</w:t>
      </w:r>
    </w:p>
    <w:p w:rsidR="00AC1F33" w:rsidRPr="00AC1F33" w:rsidRDefault="00F122B3" w:rsidP="00AC1F33">
      <w:pPr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tabs>
          <w:tab w:val="left" w:pos="1440"/>
        </w:tabs>
        <w:jc w:val="both"/>
        <w:rPr>
          <w:rFonts w:cs="Arial"/>
          <w:b/>
          <w:sz w:val="22"/>
          <w:szCs w:val="24"/>
        </w:rPr>
      </w:pPr>
    </w:p>
    <w:p w:rsidR="00AC1F33" w:rsidRPr="00AC1F33" w:rsidRDefault="00F122B3" w:rsidP="00AC1F33">
      <w:pPr>
        <w:tabs>
          <w:tab w:val="left" w:pos="1440"/>
        </w:tabs>
        <w:jc w:val="both"/>
        <w:rPr>
          <w:rFonts w:cs="Arial"/>
          <w:b/>
          <w:sz w:val="22"/>
          <w:szCs w:val="24"/>
        </w:rPr>
      </w:pPr>
      <w:r w:rsidRPr="00AC1F33">
        <w:rPr>
          <w:rFonts w:cs="Arial"/>
          <w:b/>
          <w:sz w:val="22"/>
          <w:szCs w:val="24"/>
        </w:rPr>
        <w:t>RECOMENDACIONES GENERALES</w:t>
      </w:r>
    </w:p>
    <w:p w:rsidR="00AC1F33" w:rsidRPr="00AC1F33" w:rsidRDefault="00F122B3" w:rsidP="00AC1F33">
      <w:pPr>
        <w:widowControl w:val="0"/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cs="Arial"/>
          <w:sz w:val="22"/>
          <w:szCs w:val="24"/>
        </w:rPr>
      </w:pPr>
    </w:p>
    <w:p w:rsidR="00AC1F33" w:rsidRPr="00AC1F33" w:rsidRDefault="00F122B3" w:rsidP="00AC1F33">
      <w:pPr>
        <w:numPr>
          <w:ilvl w:val="0"/>
          <w:numId w:val="1"/>
        </w:numPr>
        <w:jc w:val="both"/>
        <w:rPr>
          <w:rFonts w:cs="Arial"/>
          <w:b/>
          <w:sz w:val="22"/>
          <w:szCs w:val="24"/>
        </w:rPr>
      </w:pPr>
      <w:r>
        <w:rPr>
          <w:rFonts w:cs="Arial"/>
          <w:sz w:val="22"/>
          <w:szCs w:val="24"/>
        </w:rPr>
        <w:t>S</w:t>
      </w:r>
      <w:r w:rsidRPr="00AC1F33">
        <w:rPr>
          <w:rFonts w:cs="Arial"/>
          <w:sz w:val="22"/>
          <w:szCs w:val="24"/>
        </w:rPr>
        <w:t>ocializar el resultad</w:t>
      </w:r>
      <w:r w:rsidRPr="00AC1F33">
        <w:rPr>
          <w:rFonts w:cs="Arial"/>
          <w:sz w:val="22"/>
          <w:szCs w:val="24"/>
        </w:rPr>
        <w:t>o de la verificación a diciembre de 2015, correspondiente a los Planes de Mejoramiento y de Evaluación y Seguimiento de los Riesgos.</w:t>
      </w:r>
    </w:p>
    <w:p w:rsidR="00AC1F33" w:rsidRPr="00AC1F33" w:rsidRDefault="00F122B3" w:rsidP="00AC1F33">
      <w:pPr>
        <w:ind w:left="360"/>
        <w:jc w:val="both"/>
        <w:rPr>
          <w:rFonts w:cs="Arial"/>
          <w:b/>
          <w:sz w:val="22"/>
          <w:szCs w:val="24"/>
        </w:rPr>
      </w:pPr>
    </w:p>
    <w:p w:rsidR="00AC1F33" w:rsidRPr="00AC1F33" w:rsidRDefault="00F122B3" w:rsidP="00AC1F33">
      <w:pPr>
        <w:numPr>
          <w:ilvl w:val="0"/>
          <w:numId w:val="1"/>
        </w:numPr>
        <w:jc w:val="both"/>
        <w:rPr>
          <w:rFonts w:cs="Arial"/>
          <w:i/>
          <w:sz w:val="20"/>
          <w:szCs w:val="24"/>
        </w:rPr>
      </w:pPr>
      <w:r w:rsidRPr="00AC1F33">
        <w:rPr>
          <w:rFonts w:cs="Arial"/>
          <w:sz w:val="22"/>
          <w:szCs w:val="24"/>
        </w:rPr>
        <w:t>Actualizar el Plan de Manejo de Riesgos – vigencia 2016, de conformidad con la identificación realizada en cumplimiento de</w:t>
      </w:r>
      <w:r w:rsidRPr="00AC1F33">
        <w:rPr>
          <w:rFonts w:cs="Arial"/>
          <w:sz w:val="22"/>
          <w:szCs w:val="24"/>
        </w:rPr>
        <w:t>l “</w:t>
      </w:r>
      <w:r w:rsidRPr="00AC1F33">
        <w:rPr>
          <w:rFonts w:cs="Arial"/>
          <w:i/>
          <w:sz w:val="20"/>
          <w:szCs w:val="24"/>
        </w:rPr>
        <w:t>PROCEDIMIENTO PARA ELABORA</w:t>
      </w:r>
      <w:r>
        <w:rPr>
          <w:rFonts w:cs="Arial"/>
          <w:i/>
          <w:sz w:val="20"/>
          <w:szCs w:val="24"/>
        </w:rPr>
        <w:t>R</w:t>
      </w:r>
      <w:r w:rsidRPr="00AC1F33">
        <w:rPr>
          <w:rFonts w:cs="Arial"/>
          <w:i/>
          <w:sz w:val="20"/>
          <w:szCs w:val="24"/>
        </w:rPr>
        <w:t xml:space="preserve"> EL MAPA DE RIESGOS INSTITUCIONAL”.</w:t>
      </w:r>
    </w:p>
    <w:p w:rsidR="00AC1F33" w:rsidRPr="00AC1F33" w:rsidRDefault="00F122B3" w:rsidP="00AC1F33">
      <w:pPr>
        <w:ind w:left="708"/>
        <w:rPr>
          <w:rFonts w:cs="Arial"/>
          <w:sz w:val="18"/>
          <w:szCs w:val="24"/>
        </w:rPr>
      </w:pPr>
    </w:p>
    <w:p w:rsidR="0080302C" w:rsidRDefault="00F122B3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Cordialmente,</w:t>
      </w:r>
    </w:p>
    <w:p w:rsidR="00C17AC2" w:rsidRDefault="00F122B3" w:rsidP="006836EB">
      <w:pPr>
        <w:outlineLvl w:val="0"/>
        <w:rPr>
          <w:rFonts w:cs="Arial"/>
          <w:szCs w:val="24"/>
        </w:rPr>
      </w:pPr>
    </w:p>
    <w:p w:rsidR="00C17AC2" w:rsidRDefault="00F122B3" w:rsidP="006836EB">
      <w:pPr>
        <w:outlineLvl w:val="0"/>
        <w:rPr>
          <w:rFonts w:cs="Arial"/>
          <w:szCs w:val="24"/>
        </w:rPr>
      </w:pPr>
    </w:p>
    <w:p w:rsidR="00C17AC2" w:rsidRDefault="00F122B3" w:rsidP="006836EB">
      <w:pPr>
        <w:outlineLvl w:val="0"/>
        <w:rPr>
          <w:rFonts w:cs="Arial"/>
          <w:szCs w:val="24"/>
        </w:rPr>
      </w:pPr>
    </w:p>
    <w:p w:rsidR="00E07534" w:rsidRDefault="00F122B3" w:rsidP="006836EB">
      <w:pPr>
        <w:outlineLvl w:val="0"/>
        <w:rPr>
          <w:rFonts w:cs="Arial"/>
          <w:szCs w:val="24"/>
        </w:rPr>
      </w:pPr>
    </w:p>
    <w:p w:rsidR="00EC36C7" w:rsidRDefault="00F122B3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A24642" w:rsidTr="00EC36C7">
        <w:trPr>
          <w:trHeight w:val="988"/>
        </w:trPr>
        <w:tc>
          <w:tcPr>
            <w:tcW w:w="4673" w:type="dxa"/>
          </w:tcPr>
          <w:p w:rsidR="007A6B81" w:rsidRDefault="00F122B3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205ECD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1" o:title=""/>
                </v:shape>
              </w:pict>
            </w:r>
            <w:bookmarkEnd w:id="11"/>
          </w:p>
        </w:tc>
      </w:tr>
      <w:tr w:rsidR="00A24642" w:rsidTr="00EC36C7">
        <w:trPr>
          <w:trHeight w:val="286"/>
        </w:trPr>
        <w:tc>
          <w:tcPr>
            <w:tcW w:w="4673" w:type="dxa"/>
          </w:tcPr>
          <w:p w:rsidR="007A6B81" w:rsidRDefault="00F122B3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F122B3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F122B3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F122B3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197795" w:rsidRPr="00C17AC2" w:rsidRDefault="00F122B3" w:rsidP="00C94A59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C17AC2">
        <w:rPr>
          <w:rFonts w:cs="Arial"/>
          <w:sz w:val="16"/>
          <w:szCs w:val="16"/>
        </w:rPr>
        <w:t xml:space="preserve">Anexo:    SI  _x_    NO__  Numero de folios_2____ </w:t>
      </w:r>
      <w:r w:rsidRPr="00AC1F33">
        <w:rPr>
          <w:rFonts w:cs="Arial"/>
          <w:sz w:val="16"/>
          <w:szCs w:val="16"/>
        </w:rPr>
        <w:t>Plan</w:t>
      </w:r>
      <w:r w:rsidRPr="00C17AC2">
        <w:rPr>
          <w:rFonts w:cs="Arial"/>
          <w:sz w:val="16"/>
          <w:szCs w:val="16"/>
        </w:rPr>
        <w:t xml:space="preserve">es de </w:t>
      </w:r>
      <w:r>
        <w:rPr>
          <w:rFonts w:cs="Arial"/>
          <w:sz w:val="16"/>
          <w:szCs w:val="16"/>
        </w:rPr>
        <w:t>M</w:t>
      </w:r>
      <w:r w:rsidRPr="00C17AC2">
        <w:rPr>
          <w:rFonts w:cs="Arial"/>
          <w:sz w:val="16"/>
          <w:szCs w:val="16"/>
        </w:rPr>
        <w:t xml:space="preserve">ejoramiento y </w:t>
      </w:r>
      <w:r w:rsidRPr="00AC1F33">
        <w:rPr>
          <w:rFonts w:cs="Arial"/>
          <w:sz w:val="16"/>
          <w:szCs w:val="16"/>
        </w:rPr>
        <w:t xml:space="preserve"> de </w:t>
      </w:r>
      <w:r>
        <w:rPr>
          <w:rFonts w:cs="Arial"/>
          <w:sz w:val="16"/>
          <w:szCs w:val="16"/>
        </w:rPr>
        <w:t>Evaluación y Se</w:t>
      </w:r>
      <w:r w:rsidRPr="00AC1F33">
        <w:rPr>
          <w:rFonts w:cs="Arial"/>
          <w:sz w:val="16"/>
          <w:szCs w:val="16"/>
        </w:rPr>
        <w:t xml:space="preserve">guimiento </w:t>
      </w:r>
      <w:r w:rsidRPr="00AC1F33">
        <w:rPr>
          <w:rFonts w:cs="Arial"/>
          <w:sz w:val="16"/>
          <w:szCs w:val="16"/>
        </w:rPr>
        <w:t>de los riesgos</w:t>
      </w:r>
      <w:r>
        <w:rPr>
          <w:rFonts w:cs="Arial"/>
          <w:sz w:val="16"/>
          <w:szCs w:val="16"/>
        </w:rPr>
        <w:t>.</w:t>
      </w:r>
    </w:p>
    <w:p w:rsidR="00197795" w:rsidRPr="00C17AC2" w:rsidRDefault="00F122B3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p w:rsidR="00C17AC2" w:rsidRPr="00AC1F33" w:rsidRDefault="00F122B3" w:rsidP="00C17AC2">
      <w:pPr>
        <w:tabs>
          <w:tab w:val="left" w:pos="1440"/>
        </w:tabs>
        <w:rPr>
          <w:rFonts w:cs="Arial"/>
          <w:sz w:val="16"/>
          <w:szCs w:val="16"/>
        </w:rPr>
      </w:pPr>
      <w:r w:rsidRPr="00AC1F33">
        <w:rPr>
          <w:rFonts w:cs="Arial"/>
          <w:sz w:val="16"/>
          <w:szCs w:val="16"/>
        </w:rPr>
        <w:t>Proyectó y elaboró: Elia Rocío Gómez Alvarado-Funcionaria OCI</w:t>
      </w:r>
    </w:p>
    <w:p w:rsidR="00C17AC2" w:rsidRPr="00AC1F33" w:rsidRDefault="00F122B3" w:rsidP="00C17AC2">
      <w:pPr>
        <w:tabs>
          <w:tab w:val="left" w:pos="1440"/>
        </w:tabs>
        <w:rPr>
          <w:rFonts w:cs="Arial"/>
          <w:sz w:val="16"/>
          <w:szCs w:val="16"/>
        </w:rPr>
      </w:pPr>
      <w:r w:rsidRPr="00AC1F33">
        <w:rPr>
          <w:rFonts w:cs="Arial"/>
          <w:sz w:val="16"/>
          <w:szCs w:val="16"/>
        </w:rPr>
        <w:t>Revisó: Carmen Rosa Mendoza Suarez -Jefe Oficina de Control Interno</w:t>
      </w:r>
    </w:p>
    <w:p w:rsidR="00C17AC2" w:rsidRDefault="00F122B3" w:rsidP="00C17AC2"/>
    <w:p w:rsidR="00C17AC2" w:rsidRDefault="00F122B3" w:rsidP="00C17AC2"/>
    <w:p w:rsidR="00815CDD" w:rsidRPr="00301D93" w:rsidRDefault="00F122B3" w:rsidP="00C17AC2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B3" w:rsidRDefault="00F122B3">
      <w:r>
        <w:separator/>
      </w:r>
    </w:p>
  </w:endnote>
  <w:endnote w:type="continuationSeparator" w:id="0">
    <w:p w:rsidR="00F122B3" w:rsidRDefault="00F1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F" w:rsidRDefault="00F122B3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F122B3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F122B3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F122B3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F122B3" w:rsidP="00BD6F23">
    <w:pPr>
      <w:pStyle w:val="Piedepgina"/>
      <w:jc w:val="left"/>
    </w:pPr>
  </w:p>
  <w:p w:rsidR="007732BF" w:rsidRDefault="00F122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B3" w:rsidRDefault="00F122B3">
      <w:r>
        <w:separator/>
      </w:r>
    </w:p>
  </w:footnote>
  <w:footnote w:type="continuationSeparator" w:id="0">
    <w:p w:rsidR="00F122B3" w:rsidRDefault="00F1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F" w:rsidRDefault="00F122B3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F122B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F122B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3-2015-26289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2015-12-17 19:13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722044</w:t>
                          </w:r>
                          <w:bookmarkEnd w:id="4"/>
                        </w:p>
                        <w:p w:rsidR="007732BF" w:rsidRPr="00C71928" w:rsidRDefault="00F122B3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>CARMEN ROSA MENDOZA SUAREZ</w:t>
                          </w:r>
                          <w:bookmarkEnd w:id="5"/>
                        </w:p>
                        <w:p w:rsidR="007732BF" w:rsidRDefault="00F122B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F122B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13000-24053</w:t>
                          </w:r>
                          <w:bookmarkEnd w:id="9"/>
                        </w:p>
                        <w:p w:rsidR="007732BF" w:rsidRPr="00FC7DD4" w:rsidRDefault="00F122B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722044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CARMEN ROSA MENDOZA SUAREZ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4C38"/>
    <w:multiLevelType w:val="hybridMultilevel"/>
    <w:tmpl w:val="0FDCAC84"/>
    <w:lvl w:ilvl="0" w:tplc="671AA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DE22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CE76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304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A612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3220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2A13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E691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EC66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5F6C69"/>
    <w:multiLevelType w:val="multilevel"/>
    <w:tmpl w:val="A260A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5196B2E"/>
    <w:multiLevelType w:val="hybridMultilevel"/>
    <w:tmpl w:val="2D9C2750"/>
    <w:lvl w:ilvl="0" w:tplc="79B44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F240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6EC3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7E38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A3E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DC04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B6F9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92C0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5E58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C33D61"/>
    <w:multiLevelType w:val="hybridMultilevel"/>
    <w:tmpl w:val="0EFACA48"/>
    <w:lvl w:ilvl="0" w:tplc="12E2C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84C702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51AEF6E0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BBA06AC8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D7D6E01E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61080B1C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76CCEBE0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B5C6FE3E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3828A4B0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42"/>
    <w:rsid w:val="00205ECD"/>
    <w:rsid w:val="00A24642"/>
    <w:rsid w:val="00F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96BB-2A56-4255-8C63-F786D654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2007.dotx</Template>
  <TotalTime>1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CARMEN ROSA</cp:lastModifiedBy>
  <cp:revision>2</cp:revision>
  <dcterms:created xsi:type="dcterms:W3CDTF">2015-12-18T00:21:00Z</dcterms:created>
  <dcterms:modified xsi:type="dcterms:W3CDTF">2015-12-18T00:21:00Z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  <property fmtid="{D5CDD505-2E9C-101B-9397-08002B2CF9AE}" pid="3" name="_MarkAsFinal">
    <vt:bool>true</vt:bool>
  </property>
</Properties>
</file>